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292E" w:rsidRPr="0020578C" w:rsidRDefault="0009292E" w:rsidP="0009292E">
      <w:pPr>
        <w:spacing w:line="360" w:lineRule="auto"/>
        <w:jc w:val="center"/>
      </w:pPr>
      <w:r w:rsidRPr="0020578C">
        <w:t>Distinct glycosylation and functional profile of typhoid vaccine-induced antibodies in a UK challenge study and Nepalese children.</w:t>
      </w:r>
      <w:r>
        <w:t xml:space="preserve"> Stockdale </w:t>
      </w:r>
      <w:r>
        <w:rPr>
          <w:i/>
        </w:rPr>
        <w:t xml:space="preserve">et al. </w:t>
      </w:r>
      <w:proofErr w:type="spellStart"/>
      <w:r w:rsidRPr="0020578C">
        <w:rPr>
          <w:i/>
        </w:rPr>
        <w:t>doi</w:t>
      </w:r>
      <w:proofErr w:type="spellEnd"/>
      <w:r w:rsidRPr="0020578C">
        <w:rPr>
          <w:i/>
        </w:rPr>
        <w:t>: 10.3389/frans.2022.1005558</w:t>
      </w:r>
    </w:p>
    <w:p w:rsidR="0009292E" w:rsidRDefault="0009292E" w:rsidP="0009292E">
      <w:pPr>
        <w:spacing w:line="360" w:lineRule="auto"/>
        <w:jc w:val="center"/>
      </w:pPr>
      <w:r>
        <w:t xml:space="preserve">Supplementary </w:t>
      </w:r>
      <w:r>
        <w:t>Figures and legends</w:t>
      </w:r>
      <w:bookmarkStart w:id="0" w:name="_GoBack"/>
      <w:bookmarkEnd w:id="0"/>
    </w:p>
    <w:p w:rsidR="0009292E" w:rsidRDefault="0009292E" w:rsidP="0009292E">
      <w:pPr>
        <w:rPr>
          <w:lang w:val="en-US"/>
        </w:rPr>
      </w:pPr>
    </w:p>
    <w:p w:rsidR="0009292E" w:rsidRDefault="0009292E" w:rsidP="0009292E">
      <w:pPr>
        <w:rPr>
          <w:lang w:val="en-US"/>
        </w:rPr>
      </w:pPr>
    </w:p>
    <w:p w:rsidR="0009292E" w:rsidRPr="007D0AB2" w:rsidRDefault="0009292E" w:rsidP="0009292E">
      <w:r>
        <w:rPr>
          <w:lang w:val="en-US"/>
        </w:rPr>
        <w:t xml:space="preserve">SUPPLEMENTARY FIGURE </w:t>
      </w:r>
      <w:r w:rsidRPr="007D0AB2">
        <w:rPr>
          <w:lang w:val="en-US"/>
        </w:rPr>
        <w:t>1- Raw data of relative abundance for total IgG (Vi-PS n=35, Vi-TCV n=37) and Vi-specific IgG (Vi-PS n= 15, Vi-TCV n=33) for IgG1 (</w:t>
      </w:r>
      <w:proofErr w:type="gramStart"/>
      <w:r w:rsidRPr="007D0AB2">
        <w:rPr>
          <w:lang w:val="en-US"/>
        </w:rPr>
        <w:t>A,C</w:t>
      </w:r>
      <w:proofErr w:type="gramEnd"/>
      <w:r w:rsidRPr="007D0AB2">
        <w:rPr>
          <w:lang w:val="en-US"/>
        </w:rPr>
        <w:t xml:space="preserve">,E,G) and IgG2/3 (B,D,F,H) among UK participants 28 days post vaccination. Blue – Vi-PS and red – Vi-TCV vaccinees. </w:t>
      </w:r>
    </w:p>
    <w:p w:rsidR="0009292E" w:rsidRDefault="0009292E" w:rsidP="0009292E"/>
    <w:p w:rsidR="0009292E" w:rsidRPr="007D0AB2" w:rsidRDefault="0009292E" w:rsidP="0009292E">
      <w:r>
        <w:rPr>
          <w:lang w:val="en-US"/>
        </w:rPr>
        <w:t xml:space="preserve">SUPPLEMENTARY FIGURE </w:t>
      </w:r>
      <w:r w:rsidRPr="007D0AB2">
        <w:rPr>
          <w:lang w:val="en-US"/>
        </w:rPr>
        <w:t xml:space="preserve">2 – Vi-specific IgG1 and IgG2/3 glycan relative abundance for UK individuals diagnosed (Typhoid; dark green n=13) and not diagnosed (No Typhoid; light green n=35) with typhoid fever 28 days after ingestion of virulent </w:t>
      </w:r>
      <w:r w:rsidRPr="007D0AB2">
        <w:rPr>
          <w:i/>
          <w:iCs/>
          <w:lang w:val="en-US"/>
        </w:rPr>
        <w:t xml:space="preserve">S. </w:t>
      </w:r>
      <w:r w:rsidRPr="007D0AB2">
        <w:rPr>
          <w:lang w:val="en-US"/>
        </w:rPr>
        <w:t xml:space="preserve">Typhi bacteria (Post Challenge; PC). </w:t>
      </w:r>
    </w:p>
    <w:p w:rsidR="0009292E" w:rsidRDefault="0009292E" w:rsidP="0009292E"/>
    <w:p w:rsidR="0009292E" w:rsidRPr="007D0AB2" w:rsidRDefault="0009292E" w:rsidP="0009292E">
      <w:r>
        <w:rPr>
          <w:lang w:val="en-US"/>
        </w:rPr>
        <w:t xml:space="preserve">SUPPLEMENTARY FIGURE </w:t>
      </w:r>
      <w:r w:rsidRPr="007D0AB2">
        <w:rPr>
          <w:lang w:val="en-US"/>
        </w:rPr>
        <w:t xml:space="preserve">3 – Percentage difference in relative abundance between total IgG and Vi-specific IgG for UK individuals diagnosed (Typhoid; dark green n=13) and not diagnosed (No Typhoid; light green n=35) with typhoid fever 28 days after ingestion of virulent </w:t>
      </w:r>
      <w:r w:rsidRPr="007D0AB2">
        <w:rPr>
          <w:i/>
          <w:iCs/>
          <w:lang w:val="en-US"/>
        </w:rPr>
        <w:t xml:space="preserve">S. </w:t>
      </w:r>
      <w:r w:rsidRPr="007D0AB2">
        <w:rPr>
          <w:lang w:val="en-US"/>
        </w:rPr>
        <w:t xml:space="preserve">Typhi bacteria. </w:t>
      </w:r>
    </w:p>
    <w:p w:rsidR="0009292E" w:rsidRDefault="0009292E" w:rsidP="0009292E"/>
    <w:p w:rsidR="0009292E" w:rsidRDefault="0009292E" w:rsidP="0009292E">
      <w:pPr>
        <w:rPr>
          <w:lang w:val="en-US"/>
        </w:rPr>
      </w:pPr>
      <w:r>
        <w:t xml:space="preserve">SUPPLEMENTARY FIGURE </w:t>
      </w:r>
      <w:r w:rsidRPr="00A15417">
        <w:t xml:space="preserve">4- </w:t>
      </w:r>
      <w:r w:rsidRPr="00A15417">
        <w:rPr>
          <w:lang w:val="en-US"/>
        </w:rPr>
        <w:t xml:space="preserve">Total IgG1 and IgG2/3 </w:t>
      </w:r>
      <w:proofErr w:type="spellStart"/>
      <w:r w:rsidRPr="00A15417">
        <w:rPr>
          <w:lang w:val="en-US"/>
        </w:rPr>
        <w:t>glycoslyation</w:t>
      </w:r>
      <w:proofErr w:type="spellEnd"/>
      <w:r w:rsidRPr="00A15417">
        <w:rPr>
          <w:lang w:val="en-US"/>
        </w:rPr>
        <w:t xml:space="preserve"> profiles in UK adults (n=72) and Nepalese children (n=35) before vaccination (D0).</w:t>
      </w:r>
    </w:p>
    <w:p w:rsidR="0009292E" w:rsidRDefault="0009292E" w:rsidP="0009292E">
      <w:pPr>
        <w:rPr>
          <w:lang w:val="en-US"/>
        </w:rPr>
      </w:pPr>
    </w:p>
    <w:p w:rsidR="0009292E" w:rsidRDefault="0009292E" w:rsidP="0009292E">
      <w:pPr>
        <w:rPr>
          <w:lang w:val="en-US"/>
        </w:rPr>
      </w:pPr>
    </w:p>
    <w:p w:rsidR="0009292E" w:rsidRDefault="0009292E" w:rsidP="0009292E">
      <w:pPr>
        <w:rPr>
          <w:lang w:val="en-US"/>
        </w:rPr>
      </w:pPr>
      <w:r>
        <w:rPr>
          <w:lang w:val="en-US"/>
        </w:rPr>
        <w:t xml:space="preserve">SUPPLEMENTARY FIGURE </w:t>
      </w:r>
      <w:r w:rsidRPr="00A15417">
        <w:rPr>
          <w:lang w:val="en-US"/>
        </w:rPr>
        <w:t>5 – Vi-specific IgG1 and IgG2/3 in UK adults (n=33) and Nepalese children (n=33) at 28 post vaccination with Vi-TCV</w:t>
      </w:r>
    </w:p>
    <w:p w:rsidR="0009292E" w:rsidRDefault="0009292E" w:rsidP="0009292E">
      <w:pPr>
        <w:rPr>
          <w:lang w:val="en-US"/>
        </w:rPr>
      </w:pPr>
    </w:p>
    <w:p w:rsidR="0009292E" w:rsidRDefault="0009292E" w:rsidP="0009292E">
      <w:pPr>
        <w:rPr>
          <w:lang w:val="en-US"/>
        </w:rPr>
      </w:pPr>
      <w:r>
        <w:rPr>
          <w:lang w:val="en-US"/>
        </w:rPr>
        <w:t xml:space="preserve">SUPPLEMENTARY FIGURE </w:t>
      </w:r>
      <w:r w:rsidRPr="00A15417">
        <w:rPr>
          <w:lang w:val="en-US"/>
        </w:rPr>
        <w:t>6 - Heat map showing correlations between Antibody Dependent Neutrophil Phagocytosis (ADNP) and Vi-specific IgG1 and IgG2/3 glycosylation among UK and Nepalese individuals vaccinated with Vi-TCV for whom glycosylation data was available at D28 (n=33 UK and n=34 Nepal)</w:t>
      </w:r>
      <w:r>
        <w:rPr>
          <w:lang w:val="en-US"/>
        </w:rPr>
        <w:t xml:space="preserve">. The scale shows spearman rho values ranging from -1 to 1. Only significant (p&lt;0.05) findings are </w:t>
      </w:r>
      <w:proofErr w:type="spellStart"/>
      <w:r>
        <w:rPr>
          <w:lang w:val="en-US"/>
        </w:rPr>
        <w:t>coloured</w:t>
      </w:r>
      <w:proofErr w:type="spellEnd"/>
      <w:r>
        <w:rPr>
          <w:lang w:val="en-US"/>
        </w:rPr>
        <w:t>.</w:t>
      </w:r>
    </w:p>
    <w:p w:rsidR="0009292E" w:rsidRDefault="0009292E" w:rsidP="0009292E">
      <w:pPr>
        <w:rPr>
          <w:lang w:val="en-US"/>
        </w:rPr>
      </w:pPr>
    </w:p>
    <w:p w:rsidR="0009292E" w:rsidRDefault="0009292E" w:rsidP="0009292E">
      <w:pPr>
        <w:rPr>
          <w:lang w:val="en-US"/>
        </w:rPr>
      </w:pPr>
      <w:r w:rsidRPr="00710DCE">
        <w:rPr>
          <w:lang w:val="en-US"/>
        </w:rPr>
        <w:t xml:space="preserve">SUPPLEMENTARY FIGURE 7 - Repeatability evaluation of the LC-MS method. </w:t>
      </w:r>
      <w:r w:rsidRPr="00BF5FA6">
        <w:rPr>
          <w:lang w:val="en-US"/>
        </w:rPr>
        <w:t xml:space="preserve">Technical variation of the method evaluated in the UK cohort using a cohort-independent standard (method standard) as well as a cohort-specific Ty-positive control (Positive control). Bars represent the average value of the replicates, while error-bars represent the standard deviation.   </w:t>
      </w:r>
    </w:p>
    <w:p w:rsidR="0009292E" w:rsidRPr="00BF5FA6" w:rsidRDefault="0009292E" w:rsidP="0009292E"/>
    <w:p w:rsidR="0009292E" w:rsidRDefault="0009292E" w:rsidP="0009292E">
      <w:pPr>
        <w:rPr>
          <w:lang w:val="en-US"/>
        </w:rPr>
      </w:pPr>
      <w:r>
        <w:rPr>
          <w:lang w:val="en-US"/>
        </w:rPr>
        <w:lastRenderedPageBreak/>
        <w:t xml:space="preserve">SUPPLEMENTARY FIGURE 8 - </w:t>
      </w:r>
      <w:r w:rsidRPr="00BF5FA6">
        <w:rPr>
          <w:lang w:val="en-US"/>
        </w:rPr>
        <w:t xml:space="preserve">Supplementary Figure 8. Repeatability evaluation of the LC-MS method. Technical variation of the method evaluated in the Nepal cohort using a cohort-independent standard (method standard) as well as a cohort-specific Ty-positive control (Positive control). Bars represent the average value of the replicates, while error-bars represent the standard deviation.   </w:t>
      </w:r>
    </w:p>
    <w:p w:rsidR="0009292E" w:rsidRDefault="0009292E" w:rsidP="0009292E">
      <w:pPr>
        <w:spacing w:line="360" w:lineRule="auto"/>
        <w:jc w:val="both"/>
      </w:pPr>
    </w:p>
    <w:p w:rsidR="0009292E" w:rsidRDefault="0009292E" w:rsidP="0009292E">
      <w:pPr>
        <w:spacing w:line="360" w:lineRule="auto"/>
        <w:jc w:val="both"/>
      </w:pPr>
      <w:r>
        <w:t>SUPPLEMENTARY FIGURE 1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272F6E52" wp14:editId="61A8089E">
            <wp:extent cx="4732020" cy="8863330"/>
            <wp:effectExtent l="0" t="0" r="5080" b="1270"/>
            <wp:docPr id="12" name="Picture 1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20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  <w:r>
        <w:lastRenderedPageBreak/>
        <w:t>SUPPLEMENTARY FIGURE 2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drawing>
          <wp:inline distT="0" distB="0" distL="0" distR="0" wp14:anchorId="065F8485" wp14:editId="196BA41B">
            <wp:extent cx="5731510" cy="7551420"/>
            <wp:effectExtent l="0" t="0" r="0" b="5080"/>
            <wp:docPr id="13" name="Picture 13" descr="Chart, 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hart, diagram, schematic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5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  <w:r>
        <w:t>SUPPLEMENTARY FIGURE 3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518365B7" wp14:editId="38E20961">
            <wp:extent cx="5731510" cy="7769860"/>
            <wp:effectExtent l="0" t="0" r="0" b="2540"/>
            <wp:docPr id="14" name="Picture 14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, schematic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76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  <w:r>
        <w:t>SUPPLEMENTARY FIGURE 4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528E974B" wp14:editId="434EF5E8">
            <wp:extent cx="5731510" cy="1885950"/>
            <wp:effectExtent l="0" t="0" r="0" b="6350"/>
            <wp:docPr id="15" name="Picture 15" descr="Chart,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Chart, diagram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</w:p>
    <w:p w:rsidR="0009292E" w:rsidRDefault="0009292E" w:rsidP="0009292E">
      <w:pPr>
        <w:spacing w:line="360" w:lineRule="auto"/>
        <w:jc w:val="both"/>
      </w:pPr>
      <w:r>
        <w:t>SUPPLEMENTARY FIGURE 5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drawing>
          <wp:inline distT="0" distB="0" distL="0" distR="0" wp14:anchorId="473CA111" wp14:editId="7BFBF691">
            <wp:extent cx="5731510" cy="3080385"/>
            <wp:effectExtent l="0" t="0" r="0" b="5715"/>
            <wp:docPr id="16" name="Picture 16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hart, scatter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</w:p>
    <w:p w:rsidR="0009292E" w:rsidRDefault="0009292E" w:rsidP="0009292E">
      <w:pPr>
        <w:spacing w:line="360" w:lineRule="auto"/>
        <w:jc w:val="both"/>
      </w:pPr>
      <w:r>
        <w:t>SUPPLEMENTARY FIGURE 6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0C2F2060" wp14:editId="06F9B48E">
            <wp:extent cx="5731510" cy="5768975"/>
            <wp:effectExtent l="0" t="0" r="0" b="0"/>
            <wp:docPr id="17" name="Picture 17" descr="Chart, bar chart, waterfall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Chart, bar chart, waterfall chart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6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  <w:r>
        <w:t>SUPPLEMENTARY FIGURE 7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34906F79" wp14:editId="24113E2A">
            <wp:extent cx="5731510" cy="36328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3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both"/>
      </w:pPr>
      <w:r>
        <w:t xml:space="preserve">SUPPLEMENTARY FIGURE 8 </w:t>
      </w:r>
    </w:p>
    <w:p w:rsidR="0009292E" w:rsidRDefault="0009292E" w:rsidP="0009292E">
      <w:pPr>
        <w:spacing w:line="360" w:lineRule="auto"/>
        <w:jc w:val="both"/>
      </w:pPr>
      <w:r>
        <w:rPr>
          <w:noProof/>
        </w:rPr>
        <w:drawing>
          <wp:inline distT="0" distB="0" distL="0" distR="0" wp14:anchorId="448A967E" wp14:editId="13BC3352">
            <wp:extent cx="5731510" cy="3543300"/>
            <wp:effectExtent l="0" t="0" r="0" b="0"/>
            <wp:docPr id="18" name="Picture 1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screenshot of a computer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2E" w:rsidRDefault="0009292E" w:rsidP="0009292E">
      <w:pPr>
        <w:spacing w:line="360" w:lineRule="auto"/>
        <w:jc w:val="center"/>
      </w:pPr>
    </w:p>
    <w:p w:rsidR="0009292E" w:rsidRDefault="0009292E" w:rsidP="0009292E">
      <w:pPr>
        <w:spacing w:line="360" w:lineRule="auto"/>
        <w:jc w:val="center"/>
      </w:pPr>
    </w:p>
    <w:p w:rsidR="00763301" w:rsidRDefault="00763301"/>
    <w:sectPr w:rsidR="00763301" w:rsidSect="0015147A"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292E"/>
    <w:rsid w:val="0009292E"/>
    <w:rsid w:val="00763301"/>
    <w:rsid w:val="00C17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4466C9"/>
  <w15:chartTrackingRefBased/>
  <w15:docId w15:val="{CBEC6947-638A-46BA-876E-4C1200689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9292E"/>
    <w:rPr>
      <w:rFonts w:eastAsiaTheme="min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0929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402</Words>
  <Characters>2295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Oxford University Medical Sciences</Company>
  <LinksUpToDate>false</LinksUpToDate>
  <CharactersWithSpaces>2692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Stockdale</dc:creator>
  <cp:keywords/>
  <dc:description/>
  <cp:lastModifiedBy>Lisa Stockdale</cp:lastModifiedBy>
  <cp:revision>1</cp:revision>
  <dcterms:created xsi:type="dcterms:W3CDTF">2022-10-18T16:08:00Z</dcterms:created>
  <dcterms:modified xsi:type="dcterms:W3CDTF">2022-10-18T16:09:00Z</dcterms:modified>
</cp:coreProperties>
</file>